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62" w:rsidRPr="00556C0F" w:rsidRDefault="00A44962" w:rsidP="00A44962">
      <w:pPr>
        <w:pStyle w:val="a4"/>
        <w:spacing w:line="252" w:lineRule="auto"/>
        <w:ind w:left="1068" w:firstLine="348"/>
        <w:rPr>
          <w:rFonts w:eastAsia="MS Mincho"/>
          <w:b/>
          <w:bCs/>
          <w:sz w:val="18"/>
          <w:szCs w:val="18"/>
        </w:rPr>
      </w:pPr>
      <w:bookmarkStart w:id="0" w:name="_GoBack"/>
      <w:bookmarkEnd w:id="0"/>
      <w:r w:rsidRPr="00556C0F">
        <w:rPr>
          <w:rFonts w:eastAsia="MS Mincho"/>
          <w:b/>
          <w:bCs/>
          <w:sz w:val="18"/>
          <w:szCs w:val="18"/>
        </w:rPr>
        <w:t>Правила обеспечения информационной безопасности при работе в Системе «</w:t>
      </w:r>
      <w:proofErr w:type="spellStart"/>
      <w:r w:rsidRPr="00556C0F">
        <w:rPr>
          <w:rFonts w:eastAsia="MS Mincho"/>
          <w:b/>
          <w:bCs/>
          <w:sz w:val="18"/>
          <w:szCs w:val="18"/>
        </w:rPr>
        <w:t>iBank</w:t>
      </w:r>
      <w:proofErr w:type="spellEnd"/>
      <w:r w:rsidRPr="00556C0F">
        <w:rPr>
          <w:rFonts w:eastAsia="MS Mincho"/>
          <w:b/>
          <w:bCs/>
          <w:sz w:val="18"/>
          <w:szCs w:val="18"/>
        </w:rPr>
        <w:t>»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bookmarkStart w:id="1" w:name="_Hlk58504567"/>
      <w:r w:rsidRPr="00556C0F">
        <w:rPr>
          <w:rFonts w:eastAsia="MS Mincho"/>
          <w:sz w:val="18"/>
          <w:szCs w:val="18"/>
        </w:rPr>
        <w:t>1. Ответственность з</w:t>
      </w:r>
      <w:bookmarkEnd w:id="1"/>
      <w:r w:rsidRPr="00556C0F">
        <w:rPr>
          <w:rFonts w:eastAsia="MS Mincho"/>
          <w:sz w:val="18"/>
          <w:szCs w:val="18"/>
        </w:rPr>
        <w:t xml:space="preserve">а безопасное хранение и использование Ключа электронной подписи лежит на Клиенте. </w:t>
      </w:r>
    </w:p>
    <w:p w:rsidR="00A44962" w:rsidRPr="00556C0F" w:rsidRDefault="00A44962" w:rsidP="00A44962">
      <w:pPr>
        <w:pStyle w:val="a4"/>
        <w:tabs>
          <w:tab w:val="num" w:pos="532"/>
        </w:tabs>
        <w:ind w:left="0"/>
        <w:jc w:val="both"/>
        <w:rPr>
          <w:rFonts w:eastAsia="MS Mincho"/>
          <w:i/>
          <w:sz w:val="18"/>
          <w:szCs w:val="18"/>
        </w:rPr>
      </w:pPr>
      <w:r w:rsidRPr="00556C0F">
        <w:rPr>
          <w:rFonts w:eastAsia="MS Mincho"/>
          <w:sz w:val="18"/>
          <w:szCs w:val="18"/>
        </w:rPr>
        <w:t xml:space="preserve">В целях минимизации рисков мошенничества и предотвращения атак ВК при работе с Системой «Банк-Клиент, Банк рекомендует Клиенту выполнять следующие действия и правила, включая </w:t>
      </w:r>
      <w:r w:rsidRPr="00556C0F">
        <w:rPr>
          <w:rFonts w:eastAsia="MS Mincho"/>
          <w:color w:val="000000" w:themeColor="text1"/>
          <w:sz w:val="18"/>
          <w:szCs w:val="18"/>
        </w:rPr>
        <w:t xml:space="preserve">требования </w:t>
      </w:r>
      <w:r w:rsidRPr="00D37F4F">
        <w:rPr>
          <w:rFonts w:eastAsia="MS Mincho"/>
          <w:b/>
          <w:i/>
          <w:color w:val="000000" w:themeColor="text1"/>
          <w:sz w:val="18"/>
          <w:szCs w:val="18"/>
        </w:rPr>
        <w:t>Приложения № 4</w:t>
      </w:r>
      <w:r w:rsidRPr="00556C0F">
        <w:rPr>
          <w:rFonts w:eastAsia="MS Mincho"/>
          <w:i/>
          <w:color w:val="000000" w:themeColor="text1"/>
          <w:sz w:val="18"/>
          <w:szCs w:val="18"/>
        </w:rPr>
        <w:t xml:space="preserve"> к настоящему До</w:t>
      </w:r>
      <w:r w:rsidRPr="00556C0F">
        <w:rPr>
          <w:rFonts w:eastAsia="MS Mincho"/>
          <w:i/>
          <w:sz w:val="18"/>
          <w:szCs w:val="18"/>
        </w:rPr>
        <w:t xml:space="preserve">говору: </w:t>
      </w:r>
    </w:p>
    <w:p w:rsidR="00A44962" w:rsidRPr="00556C0F" w:rsidRDefault="00A44962" w:rsidP="00A44962">
      <w:pPr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 xml:space="preserve">2.1. Для обеспечения информационной безопасности Ключа электронной подписи обязан: 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>2.1.1. по завершении работы с Системой «</w:t>
      </w:r>
      <w:proofErr w:type="spellStart"/>
      <w:r w:rsidRPr="00556C0F">
        <w:rPr>
          <w:rFonts w:eastAsia="MS Mincho"/>
          <w:sz w:val="18"/>
          <w:szCs w:val="18"/>
        </w:rPr>
        <w:t>iBank</w:t>
      </w:r>
      <w:proofErr w:type="spellEnd"/>
      <w:r w:rsidRPr="00556C0F">
        <w:rPr>
          <w:rFonts w:eastAsia="MS Mincho"/>
          <w:sz w:val="18"/>
          <w:szCs w:val="18"/>
        </w:rPr>
        <w:t xml:space="preserve">» не оставлять ТОКЕН без присмотра; 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 xml:space="preserve">2.1.2. обеспечить хранение </w:t>
      </w:r>
      <w:proofErr w:type="spellStart"/>
      <w:r w:rsidRPr="00556C0F">
        <w:rPr>
          <w:rFonts w:eastAsia="MS Mincho"/>
          <w:sz w:val="18"/>
          <w:szCs w:val="18"/>
        </w:rPr>
        <w:t>ТОКЕНа</w:t>
      </w:r>
      <w:proofErr w:type="spellEnd"/>
      <w:r w:rsidRPr="00556C0F">
        <w:rPr>
          <w:rFonts w:eastAsia="MS Mincho"/>
          <w:sz w:val="18"/>
          <w:szCs w:val="18"/>
        </w:rPr>
        <w:t xml:space="preserve"> в месте, исключающем доступ к носителю третьих лиц (в сейфе, личной запираемой ячейке и т. п.), не оставлять без присмотра и в легкодоступных местах;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>2.1.3. исключить передачу Ключа электронной подписи или его копий третьим лицам, а также передачу по публичным сетям (например, в информационно-телекоммуникационную сеть «Интернет»);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>2.1.4. исключить хранение Ключа электронной подписи на жестком диске, в сетевых каталогах и прочих общедоступных ресурсах;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>2.1.5. при смене уполномоченного представителя Клиента, отвечающего за формирование и проведение Распоряжений с использованием Системы «</w:t>
      </w:r>
      <w:proofErr w:type="spellStart"/>
      <w:r w:rsidRPr="00556C0F">
        <w:rPr>
          <w:rFonts w:eastAsia="MS Mincho"/>
          <w:sz w:val="18"/>
          <w:szCs w:val="18"/>
        </w:rPr>
        <w:t>iBank</w:t>
      </w:r>
      <w:proofErr w:type="spellEnd"/>
      <w:r w:rsidRPr="00556C0F">
        <w:rPr>
          <w:rFonts w:eastAsia="MS Mincho"/>
          <w:sz w:val="18"/>
          <w:szCs w:val="18"/>
        </w:rPr>
        <w:t xml:space="preserve">», сменить криптографические ключи; 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>2.2. Для обеспечения безопасности устройства, с которого осуществляется работа с Системой «</w:t>
      </w:r>
      <w:proofErr w:type="spellStart"/>
      <w:r w:rsidRPr="00556C0F">
        <w:rPr>
          <w:rFonts w:eastAsia="MS Mincho"/>
          <w:sz w:val="18"/>
          <w:szCs w:val="18"/>
        </w:rPr>
        <w:t>iBank</w:t>
      </w:r>
      <w:proofErr w:type="spellEnd"/>
      <w:r w:rsidRPr="00556C0F">
        <w:rPr>
          <w:rFonts w:eastAsia="MS Mincho"/>
          <w:sz w:val="18"/>
          <w:szCs w:val="18"/>
        </w:rPr>
        <w:t xml:space="preserve">», Клиент обязан: 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 xml:space="preserve">2.2.1. использовать только лицензионные общее и прикладное программное обеспечение, средства антивирусной защиты; 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 xml:space="preserve">2.2.2. обеспечить на устройстве непрерывное функционирование средств антивирусной защиты и межсетевого экранирования (брандмауэр, </w:t>
      </w:r>
      <w:proofErr w:type="spellStart"/>
      <w:r w:rsidRPr="00556C0F">
        <w:rPr>
          <w:rFonts w:eastAsia="MS Mincho"/>
          <w:sz w:val="18"/>
          <w:szCs w:val="18"/>
        </w:rPr>
        <w:t>firewall</w:t>
      </w:r>
      <w:proofErr w:type="spellEnd"/>
      <w:r w:rsidRPr="00556C0F">
        <w:rPr>
          <w:rFonts w:eastAsia="MS Mincho"/>
          <w:sz w:val="18"/>
          <w:szCs w:val="18"/>
        </w:rPr>
        <w:t>);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>2.2.3. ограничить права пользователя на внесение изменений в настройку операционной системы и установку каких-либо программ на устройство. При использовании для работы в Системе «</w:t>
      </w:r>
      <w:proofErr w:type="spellStart"/>
      <w:r w:rsidRPr="00556C0F">
        <w:rPr>
          <w:rFonts w:eastAsia="MS Mincho"/>
          <w:sz w:val="18"/>
          <w:szCs w:val="18"/>
        </w:rPr>
        <w:t>iBank</w:t>
      </w:r>
      <w:proofErr w:type="spellEnd"/>
      <w:r w:rsidRPr="00556C0F">
        <w:rPr>
          <w:rFonts w:eastAsia="MS Mincho"/>
          <w:sz w:val="18"/>
          <w:szCs w:val="18"/>
        </w:rPr>
        <w:t>» нескольких компьютеров, желательно поместить их в отдельный сегмент сети;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 xml:space="preserve">2.2.4. обеспечить своевременное обновление операционной системы, антивирусного программного обеспечения, а также антивирусных баз данных; 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>2.2.5. осуществлять автоматическую периодическую (не реже одного раза в неделю) проверку устройства на наличие вирусов, при обнаружении вирусов, шпионских программ и т. п. немедленно их удалять;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color w:val="000000" w:themeColor="text1"/>
          <w:sz w:val="18"/>
          <w:szCs w:val="18"/>
        </w:rPr>
      </w:pPr>
      <w:r w:rsidRPr="00556C0F">
        <w:rPr>
          <w:rFonts w:eastAsia="MS Mincho"/>
          <w:sz w:val="18"/>
          <w:szCs w:val="18"/>
        </w:rPr>
        <w:t>2.2.6. установить парольную политику на ТОКЕН, средствах доступа к Системе «</w:t>
      </w:r>
      <w:proofErr w:type="spellStart"/>
      <w:r w:rsidRPr="00556C0F">
        <w:rPr>
          <w:rFonts w:eastAsia="MS Mincho"/>
          <w:sz w:val="18"/>
          <w:szCs w:val="18"/>
        </w:rPr>
        <w:t>iBank</w:t>
      </w:r>
      <w:proofErr w:type="spellEnd"/>
      <w:r w:rsidRPr="00556C0F">
        <w:rPr>
          <w:rFonts w:eastAsia="MS Mincho"/>
          <w:sz w:val="18"/>
          <w:szCs w:val="18"/>
        </w:rPr>
        <w:t xml:space="preserve">» в соответствии с </w:t>
      </w:r>
      <w:r w:rsidRPr="00556C0F">
        <w:rPr>
          <w:rFonts w:eastAsia="MS Mincho"/>
          <w:color w:val="000000" w:themeColor="text1"/>
          <w:sz w:val="18"/>
          <w:szCs w:val="18"/>
        </w:rPr>
        <w:t xml:space="preserve">требованиями Приложения №3 к настоящему Договору; 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>2.2.7. соблюдать правила информационной безопасности при работе в информационно- телекоммуникационной сети «Интернет» (не посещать подозрительные сайты, не устанавливать программы из «</w:t>
      </w:r>
      <w:proofErr w:type="spellStart"/>
      <w:r w:rsidRPr="00556C0F">
        <w:rPr>
          <w:rFonts w:eastAsia="MS Mincho"/>
          <w:sz w:val="18"/>
          <w:szCs w:val="18"/>
        </w:rPr>
        <w:t>недоверенных</w:t>
      </w:r>
      <w:proofErr w:type="spellEnd"/>
      <w:r w:rsidRPr="00556C0F">
        <w:rPr>
          <w:rFonts w:eastAsia="MS Mincho"/>
          <w:sz w:val="18"/>
          <w:szCs w:val="18"/>
        </w:rPr>
        <w:t xml:space="preserve">» источников, не открывать письма и вложения от неизвестных отправителей и пр.). </w:t>
      </w:r>
    </w:p>
    <w:p w:rsidR="00A44962" w:rsidRPr="00556C0F" w:rsidRDefault="00A44962" w:rsidP="00A44962">
      <w:pPr>
        <w:pStyle w:val="a4"/>
        <w:tabs>
          <w:tab w:val="left" w:pos="-142"/>
        </w:tabs>
        <w:spacing w:line="252" w:lineRule="auto"/>
        <w:ind w:left="0"/>
        <w:jc w:val="both"/>
        <w:rPr>
          <w:rFonts w:eastAsia="MS Mincho"/>
          <w:color w:val="000000" w:themeColor="text1"/>
          <w:sz w:val="18"/>
          <w:szCs w:val="18"/>
        </w:rPr>
      </w:pPr>
      <w:r w:rsidRPr="00556C0F">
        <w:rPr>
          <w:rFonts w:eastAsia="MS Mincho"/>
          <w:sz w:val="18"/>
          <w:szCs w:val="18"/>
        </w:rPr>
        <w:t xml:space="preserve">2.3. Для обеспечения информационной </w:t>
      </w:r>
      <w:r w:rsidRPr="00556C0F">
        <w:rPr>
          <w:rFonts w:eastAsia="MS Mincho"/>
          <w:color w:val="000000" w:themeColor="text1"/>
          <w:sz w:val="18"/>
          <w:szCs w:val="18"/>
        </w:rPr>
        <w:t>безопасности при работе в Системе «</w:t>
      </w:r>
      <w:proofErr w:type="spellStart"/>
      <w:r w:rsidRPr="00556C0F">
        <w:rPr>
          <w:rFonts w:eastAsia="MS Mincho"/>
          <w:color w:val="000000" w:themeColor="text1"/>
          <w:sz w:val="18"/>
          <w:szCs w:val="18"/>
        </w:rPr>
        <w:t>iBank</w:t>
      </w:r>
      <w:proofErr w:type="spellEnd"/>
      <w:r w:rsidRPr="00556C0F">
        <w:rPr>
          <w:rFonts w:eastAsia="MS Mincho"/>
          <w:color w:val="000000" w:themeColor="text1"/>
          <w:sz w:val="18"/>
          <w:szCs w:val="18"/>
        </w:rPr>
        <w:t xml:space="preserve">» Клиент обязан: </w:t>
      </w:r>
    </w:p>
    <w:p w:rsidR="00A44962" w:rsidRPr="00556C0F" w:rsidRDefault="00A44962" w:rsidP="00A44962">
      <w:pPr>
        <w:pStyle w:val="a4"/>
        <w:tabs>
          <w:tab w:val="left" w:pos="-142"/>
        </w:tabs>
        <w:spacing w:line="252" w:lineRule="auto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color w:val="000000" w:themeColor="text1"/>
          <w:sz w:val="18"/>
          <w:szCs w:val="18"/>
        </w:rPr>
        <w:t xml:space="preserve">2.3.1. использовать вход в систему только с </w:t>
      </w:r>
      <w:bookmarkStart w:id="2" w:name="_Hlk59577329"/>
      <w:r w:rsidRPr="00556C0F">
        <w:rPr>
          <w:rFonts w:eastAsia="MS Mincho"/>
          <w:color w:val="000000" w:themeColor="text1"/>
          <w:sz w:val="18"/>
          <w:szCs w:val="18"/>
        </w:rPr>
        <w:fldChar w:fldCharType="begin"/>
      </w:r>
      <w:r w:rsidRPr="00556C0F">
        <w:rPr>
          <w:rFonts w:eastAsia="MS Mincho"/>
          <w:color w:val="000000" w:themeColor="text1"/>
          <w:sz w:val="18"/>
          <w:szCs w:val="18"/>
        </w:rPr>
        <w:instrText xml:space="preserve"> HYPERLINK "https://dbo-zemcombank.ru" </w:instrText>
      </w:r>
      <w:r w:rsidRPr="00556C0F">
        <w:rPr>
          <w:rFonts w:eastAsia="MS Mincho"/>
          <w:color w:val="000000" w:themeColor="text1"/>
          <w:sz w:val="18"/>
          <w:szCs w:val="18"/>
        </w:rPr>
        <w:fldChar w:fldCharType="separate"/>
      </w:r>
      <w:r w:rsidRPr="00556C0F">
        <w:rPr>
          <w:rStyle w:val="a3"/>
          <w:rFonts w:eastAsia="MS Mincho"/>
          <w:color w:val="000000" w:themeColor="text1"/>
          <w:sz w:val="18"/>
          <w:szCs w:val="18"/>
        </w:rPr>
        <w:t>https://dbo-zemcombank.ru</w:t>
      </w:r>
      <w:r w:rsidRPr="00556C0F">
        <w:rPr>
          <w:rFonts w:eastAsia="MS Mincho"/>
          <w:color w:val="000000" w:themeColor="text1"/>
          <w:sz w:val="18"/>
          <w:szCs w:val="18"/>
        </w:rPr>
        <w:fldChar w:fldCharType="end"/>
      </w:r>
      <w:bookmarkEnd w:id="2"/>
      <w:r w:rsidRPr="00556C0F">
        <w:rPr>
          <w:rFonts w:eastAsia="MS Mincho"/>
          <w:color w:val="000000" w:themeColor="text1"/>
          <w:sz w:val="18"/>
          <w:szCs w:val="18"/>
        </w:rPr>
        <w:t xml:space="preserve">, обращать внимание на правильность адреса (ссылки). При выявленном несоответствии – немедленно прекратить </w:t>
      </w:r>
      <w:r w:rsidRPr="00556C0F">
        <w:rPr>
          <w:rFonts w:eastAsia="MS Mincho"/>
          <w:sz w:val="18"/>
          <w:szCs w:val="18"/>
        </w:rPr>
        <w:t xml:space="preserve">проведение операций и проинформировать Банк; </w:t>
      </w:r>
    </w:p>
    <w:p w:rsidR="00A44962" w:rsidRPr="00556C0F" w:rsidRDefault="00A44962" w:rsidP="00A44962">
      <w:pPr>
        <w:pStyle w:val="a4"/>
        <w:tabs>
          <w:tab w:val="left" w:pos="-142"/>
        </w:tabs>
        <w:spacing w:line="252" w:lineRule="auto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>2.3.2. ежедневно контролировать состояние Счета(</w:t>
      </w:r>
      <w:proofErr w:type="spellStart"/>
      <w:r w:rsidRPr="00556C0F">
        <w:rPr>
          <w:rFonts w:eastAsia="MS Mincho"/>
          <w:sz w:val="18"/>
          <w:szCs w:val="18"/>
        </w:rPr>
        <w:t>ов</w:t>
      </w:r>
      <w:proofErr w:type="spellEnd"/>
      <w:r w:rsidRPr="00556C0F">
        <w:rPr>
          <w:rFonts w:eastAsia="MS Mincho"/>
          <w:sz w:val="18"/>
          <w:szCs w:val="18"/>
        </w:rPr>
        <w:t>) (путем просмотра выписки). При выявлении расхождений – немедленно прекратить проведение операций и проинформировать Банк;</w:t>
      </w:r>
    </w:p>
    <w:p w:rsidR="00A44962" w:rsidRPr="00556C0F" w:rsidRDefault="00A44962" w:rsidP="00A44962">
      <w:pPr>
        <w:pStyle w:val="a4"/>
        <w:tabs>
          <w:tab w:val="left" w:pos="-142"/>
        </w:tabs>
        <w:spacing w:line="252" w:lineRule="auto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>2.3.3. обращать внимание на дату и время последних входов в Систему «</w:t>
      </w:r>
      <w:proofErr w:type="spellStart"/>
      <w:r w:rsidRPr="00556C0F">
        <w:rPr>
          <w:rFonts w:eastAsia="MS Mincho"/>
          <w:sz w:val="18"/>
          <w:szCs w:val="18"/>
        </w:rPr>
        <w:t>iBank</w:t>
      </w:r>
      <w:proofErr w:type="spellEnd"/>
      <w:r w:rsidRPr="00556C0F">
        <w:rPr>
          <w:rFonts w:eastAsia="MS Mincho"/>
          <w:sz w:val="18"/>
          <w:szCs w:val="18"/>
        </w:rPr>
        <w:t>» (данные фиксируются на первой странице после входа в Систему «</w:t>
      </w:r>
      <w:proofErr w:type="spellStart"/>
      <w:r w:rsidRPr="00556C0F">
        <w:rPr>
          <w:rFonts w:eastAsia="MS Mincho"/>
          <w:sz w:val="18"/>
          <w:szCs w:val="18"/>
        </w:rPr>
        <w:t>iBank</w:t>
      </w:r>
      <w:proofErr w:type="spellEnd"/>
      <w:r w:rsidRPr="00556C0F">
        <w:rPr>
          <w:rFonts w:eastAsia="MS Mincho"/>
          <w:sz w:val="18"/>
          <w:szCs w:val="18"/>
        </w:rPr>
        <w:t>», а также в специальном разделе «Безопасность» - «Журнал сеансов работы»);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>2.4. Признаки нарушений режима безопасности: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 xml:space="preserve">2.4.1. хищение, утеря (безвозвратная или с последующим обнаружением), повреждение </w:t>
      </w:r>
      <w:proofErr w:type="spellStart"/>
      <w:r w:rsidRPr="00556C0F">
        <w:rPr>
          <w:rFonts w:eastAsia="MS Mincho"/>
          <w:sz w:val="18"/>
          <w:szCs w:val="18"/>
        </w:rPr>
        <w:t>ТОКЕНа</w:t>
      </w:r>
      <w:proofErr w:type="spellEnd"/>
      <w:r w:rsidRPr="00556C0F">
        <w:rPr>
          <w:rFonts w:eastAsia="MS Mincho"/>
          <w:sz w:val="18"/>
          <w:szCs w:val="18"/>
        </w:rPr>
        <w:t>;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 xml:space="preserve">2.4.2. увольнение сотрудников, имевших доступ к Ключам </w:t>
      </w:r>
      <w:bookmarkStart w:id="3" w:name="_Hlk58922230"/>
      <w:r w:rsidRPr="00556C0F">
        <w:rPr>
          <w:rFonts w:eastAsia="MS Mincho"/>
          <w:sz w:val="18"/>
          <w:szCs w:val="18"/>
        </w:rPr>
        <w:t>электронной подписи</w:t>
      </w:r>
      <w:bookmarkEnd w:id="3"/>
      <w:r w:rsidRPr="00556C0F">
        <w:rPr>
          <w:rFonts w:eastAsia="MS Mincho"/>
          <w:sz w:val="18"/>
          <w:szCs w:val="18"/>
        </w:rPr>
        <w:t xml:space="preserve">, изменения функциональных обязанностей сотрудника Клиента, имевшего доступ к распоряжению Счетом; 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>2.4.3. возникновение подозрений на утечку информации или ее несанкционированное изменение в Системе «</w:t>
      </w:r>
      <w:proofErr w:type="spellStart"/>
      <w:r w:rsidRPr="00556C0F">
        <w:rPr>
          <w:rFonts w:eastAsia="MS Mincho"/>
          <w:sz w:val="18"/>
          <w:szCs w:val="18"/>
        </w:rPr>
        <w:t>iBank</w:t>
      </w:r>
      <w:proofErr w:type="spellEnd"/>
      <w:r w:rsidRPr="00556C0F">
        <w:rPr>
          <w:rFonts w:eastAsia="MS Mincho"/>
          <w:sz w:val="18"/>
          <w:szCs w:val="18"/>
        </w:rPr>
        <w:t>»;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 xml:space="preserve">2.4.4. подозрение на несанкционированный доступ третьих лиц к Счетам, программно-аппаратным средствам Клиента, Ключу электронной подписи, </w:t>
      </w:r>
    </w:p>
    <w:p w:rsidR="00A44962" w:rsidRPr="00556C0F" w:rsidRDefault="00A44962" w:rsidP="00A44962">
      <w:pPr>
        <w:pStyle w:val="a4"/>
        <w:tabs>
          <w:tab w:val="num" w:pos="532"/>
        </w:tabs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>несанкционированные операции по банковскому Счету Клиента с использованием Системы «</w:t>
      </w:r>
      <w:proofErr w:type="spellStart"/>
      <w:r w:rsidRPr="00556C0F">
        <w:rPr>
          <w:rFonts w:eastAsia="MS Mincho"/>
          <w:sz w:val="18"/>
          <w:szCs w:val="18"/>
        </w:rPr>
        <w:t>iBank</w:t>
      </w:r>
      <w:proofErr w:type="spellEnd"/>
      <w:r w:rsidRPr="00556C0F">
        <w:rPr>
          <w:rFonts w:eastAsia="MS Mincho"/>
          <w:sz w:val="18"/>
          <w:szCs w:val="18"/>
        </w:rPr>
        <w:t>»;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 xml:space="preserve">2.4.5. нарушение целостности замков, печатей (при наличии) на сейфе, где хранится ТОКЕН в момент нахождения в нем </w:t>
      </w:r>
      <w:proofErr w:type="spellStart"/>
      <w:r w:rsidRPr="00556C0F">
        <w:rPr>
          <w:rFonts w:eastAsia="MS Mincho"/>
          <w:sz w:val="18"/>
          <w:szCs w:val="18"/>
        </w:rPr>
        <w:t>ТОКЕНа</w:t>
      </w:r>
      <w:proofErr w:type="spellEnd"/>
      <w:r w:rsidRPr="00556C0F">
        <w:rPr>
          <w:rFonts w:eastAsia="MS Mincho"/>
          <w:sz w:val="18"/>
          <w:szCs w:val="18"/>
        </w:rPr>
        <w:t xml:space="preserve">. 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>2.5. Обязательная замена Ключа электронной подписи: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 xml:space="preserve">2.5.1. истек срок действия Ключа электронной подписи; 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 xml:space="preserve">2.5.2. произошла компрометация Ключа электронной подписи. 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 xml:space="preserve">3. Настоящим Клиент подтверждает, что до присоединения к настоящим Условиям и заключения Договора Клиент ознакомлен и полностью согласен с тем, что до момента блокировки Ключа электронной подписи Банк не несет ответственности за платежи, совершенные с использованием этого Ключа электронной подписи, даже в случае его компрометации, в </w:t>
      </w:r>
      <w:proofErr w:type="spellStart"/>
      <w:r w:rsidRPr="00556C0F">
        <w:rPr>
          <w:rFonts w:eastAsia="MS Mincho"/>
          <w:sz w:val="18"/>
          <w:szCs w:val="18"/>
        </w:rPr>
        <w:t>т.ч</w:t>
      </w:r>
      <w:proofErr w:type="spellEnd"/>
      <w:r w:rsidRPr="00556C0F">
        <w:rPr>
          <w:rFonts w:eastAsia="MS Mincho"/>
          <w:sz w:val="18"/>
          <w:szCs w:val="18"/>
        </w:rPr>
        <w:t>. при воздействии на клиентское АРМ вредоносных кодов.</w:t>
      </w:r>
    </w:p>
    <w:p w:rsidR="00A44962" w:rsidRPr="00556C0F" w:rsidRDefault="00A44962" w:rsidP="00A44962">
      <w:pPr>
        <w:pStyle w:val="a4"/>
        <w:ind w:left="0"/>
        <w:jc w:val="both"/>
        <w:rPr>
          <w:rFonts w:eastAsia="MS Mincho"/>
          <w:sz w:val="18"/>
          <w:szCs w:val="18"/>
        </w:rPr>
      </w:pPr>
      <w:r w:rsidRPr="00556C0F">
        <w:rPr>
          <w:rFonts w:eastAsia="MS Mincho"/>
          <w:sz w:val="18"/>
          <w:szCs w:val="18"/>
        </w:rPr>
        <w:t xml:space="preserve">4. В случае возникновения подозрения на компрометацию Ключа электронной подписи, Клиенту необходимо незамедлительно обратиться в Банк по телефону </w:t>
      </w:r>
      <w:r w:rsidRPr="00556C0F">
        <w:rPr>
          <w:noProof/>
          <w:sz w:val="18"/>
          <w:szCs w:val="18"/>
        </w:rPr>
        <w:t>+7(863)280-00-64 и</w:t>
      </w:r>
      <w:r w:rsidRPr="00556C0F">
        <w:rPr>
          <w:rFonts w:eastAsia="MS Mincho"/>
          <w:sz w:val="18"/>
          <w:szCs w:val="18"/>
        </w:rPr>
        <w:t xml:space="preserve"> инициировать процедуру смены всех потенциально скомпрометированных Ключей электронной подписи или блокировку Системы «</w:t>
      </w:r>
      <w:proofErr w:type="spellStart"/>
      <w:r w:rsidRPr="00556C0F">
        <w:rPr>
          <w:rFonts w:eastAsia="MS Mincho"/>
          <w:sz w:val="18"/>
          <w:szCs w:val="18"/>
        </w:rPr>
        <w:t>iBank</w:t>
      </w:r>
      <w:proofErr w:type="spellEnd"/>
      <w:r w:rsidRPr="00556C0F">
        <w:rPr>
          <w:rFonts w:eastAsia="MS Mincho"/>
          <w:sz w:val="18"/>
          <w:szCs w:val="18"/>
        </w:rPr>
        <w:t>».</w:t>
      </w:r>
    </w:p>
    <w:p w:rsidR="000B7899" w:rsidRDefault="000B7899"/>
    <w:sectPr w:rsidR="000B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03C4E"/>
    <w:multiLevelType w:val="multilevel"/>
    <w:tmpl w:val="C95EA9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F4"/>
    <w:rsid w:val="00070EF4"/>
    <w:rsid w:val="000B7899"/>
    <w:rsid w:val="0048528F"/>
    <w:rsid w:val="00A4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6C7F4-9044-4270-9321-7A241FD1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496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4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Я. Чораева</dc:creator>
  <cp:keywords/>
  <dc:description/>
  <cp:lastModifiedBy>Маслов Иван Анатольевич</cp:lastModifiedBy>
  <cp:revision>2</cp:revision>
  <dcterms:created xsi:type="dcterms:W3CDTF">2023-05-18T09:51:00Z</dcterms:created>
  <dcterms:modified xsi:type="dcterms:W3CDTF">2023-05-18T09:51:00Z</dcterms:modified>
</cp:coreProperties>
</file>